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742116" w:rsidRDefault="00742116"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High Energy Physics (HEP)</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w:t>
      </w:r>
      <w:r w:rsidRPr="00EE397D">
        <w:rPr>
          <w:rFonts w:ascii="Times New Roman" w:hAnsi="Times New Roman" w:cs="Times New Roman"/>
          <w:sz w:val="24"/>
          <w:szCs w:val="24"/>
          <w:lang w:val="en-GB"/>
        </w:rPr>
        <w:lastRenderedPageBreak/>
        <w:t>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lastRenderedPageBreak/>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2D001C">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Additional Guidance on </w:t>
      </w:r>
      <w:r w:rsidR="003B6FFF">
        <w:rPr>
          <w:rFonts w:ascii="Times New Roman" w:hAnsi="Times New Roman" w:cs="Times New Roman"/>
          <w:b/>
          <w:bCs/>
          <w:sz w:val="24"/>
          <w:szCs w:val="24"/>
          <w:lang w:val="en-GB"/>
        </w:rPr>
        <w:t>E</w:t>
      </w:r>
      <w:r w:rsidR="003B6FFF" w:rsidRPr="00223CB1">
        <w:rPr>
          <w:rFonts w:ascii="Times New Roman" w:hAnsi="Times New Roman" w:cs="Times New Roman"/>
          <w:b/>
          <w:bCs/>
          <w:sz w:val="24"/>
          <w:szCs w:val="24"/>
          <w:lang w:val="en-GB"/>
        </w:rPr>
        <w:t xml:space="preserve">xperiments, simulations and computations, theory and combinations of these activities </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[Enter content here, then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13536E" w:rsidRDefault="00F33E43">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High Energy Physics </w:t>
      </w:r>
      <w:r w:rsidR="0013536E" w:rsidRPr="0013536E">
        <w:rPr>
          <w:rFonts w:ascii="Times New Roman" w:hAnsi="Times New Roman" w:cs="Times New Roman"/>
          <w:sz w:val="24"/>
          <w:szCs w:val="24"/>
          <w:lang w:val="en-GB"/>
        </w:rPr>
        <w:t>program address</w:t>
      </w:r>
      <w:r>
        <w:rPr>
          <w:rFonts w:ascii="Times New Roman" w:hAnsi="Times New Roman" w:cs="Times New Roman"/>
          <w:sz w:val="24"/>
          <w:szCs w:val="24"/>
          <w:lang w:val="en-GB"/>
        </w:rPr>
        <w:t>es</w:t>
      </w:r>
      <w:r w:rsidR="0013536E" w:rsidRPr="0013536E">
        <w:rPr>
          <w:rFonts w:ascii="Times New Roman" w:hAnsi="Times New Roman" w:cs="Times New Roman"/>
          <w:sz w:val="24"/>
          <w:szCs w:val="24"/>
          <w:lang w:val="en-GB"/>
        </w:rPr>
        <w:t xml:space="preserve"> </w:t>
      </w:r>
      <w:r w:rsidR="007F705E">
        <w:rPr>
          <w:rFonts w:ascii="Times New Roman" w:hAnsi="Times New Roman" w:cs="Times New Roman"/>
          <w:sz w:val="24"/>
          <w:szCs w:val="24"/>
          <w:lang w:val="en-GB"/>
        </w:rPr>
        <w:t xml:space="preserve">experiments, simulations and </w:t>
      </w:r>
      <w:r w:rsidR="007F705E">
        <w:rPr>
          <w:rFonts w:ascii="Times New Roman" w:hAnsi="Times New Roman" w:cs="Times New Roman"/>
          <w:sz w:val="24"/>
          <w:szCs w:val="24"/>
          <w:lang w:val="en-GB"/>
        </w:rPr>
        <w:lastRenderedPageBreak/>
        <w:t>computations, theory and combinations of these activities</w:t>
      </w:r>
      <w:r w:rsidR="0013536E" w:rsidRPr="0013536E">
        <w:rPr>
          <w:rFonts w:ascii="Times New Roman" w:hAnsi="Times New Roman" w:cs="Times New Roman"/>
          <w:sz w:val="24"/>
          <w:szCs w:val="24"/>
          <w:lang w:val="en-GB"/>
        </w:rPr>
        <w:t>. Program specifics are listed below.</w:t>
      </w:r>
      <w:r w:rsidR="0013536E">
        <w:rPr>
          <w:rFonts w:ascii="Times New Roman" w:hAnsi="Times New Roman" w:cs="Times New Roman"/>
          <w:sz w:val="24"/>
          <w:szCs w:val="24"/>
          <w:lang w:val="en-GB"/>
        </w:rPr>
        <w:t xml:space="preserve">  </w:t>
      </w:r>
    </w:p>
    <w:p w:rsidR="0013536E" w:rsidRDefault="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Digital Research Data</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 See full definition</w:t>
      </w:r>
      <w:r>
        <w:rPr>
          <w:rFonts w:ascii="Times New Roman" w:hAnsi="Times New Roman" w:cs="Times New Roman"/>
          <w:sz w:val="24"/>
          <w:szCs w:val="24"/>
          <w:lang w:val="en-GB"/>
        </w:rPr>
        <w:t xml:space="preserve">.  </w:t>
      </w:r>
      <w:hyperlink r:id="rId10" w:anchor="Glossary" w:history="1">
        <w:r w:rsidRPr="00EB52C2">
          <w:rPr>
            <w:rStyle w:val="Hyperlink"/>
            <w:rFonts w:ascii="Times New Roman" w:hAnsi="Times New Roman" w:cs="Times New Roman"/>
            <w:sz w:val="24"/>
            <w:szCs w:val="24"/>
            <w:lang w:val="en-GB"/>
          </w:rPr>
          <w:t>http://science.energy.gov/funding-opportunities/digital-data-management/#Glossary</w:t>
        </w:r>
      </w:hyperlink>
      <w:r>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F33E43" w:rsidP="0013536E">
      <w:pPr>
        <w:widowControl w:val="0"/>
        <w:autoSpaceDE w:val="0"/>
        <w:autoSpaceDN w:val="0"/>
        <w:adjustRightInd w:val="0"/>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High Energy Physics</w:t>
      </w:r>
    </w:p>
    <w:p w:rsidR="00F33E43" w:rsidRDefault="00F33E43" w:rsidP="0013536E">
      <w:pPr>
        <w:widowControl w:val="0"/>
        <w:autoSpaceDE w:val="0"/>
        <w:autoSpaceDN w:val="0"/>
        <w:adjustRightInd w:val="0"/>
        <w:spacing w:after="0" w:line="240" w:lineRule="auto"/>
        <w:rPr>
          <w:rFonts w:ascii="Times New Roman" w:hAnsi="Times New Roman" w:cs="Times New Roman"/>
          <w:b/>
          <w:sz w:val="24"/>
          <w:szCs w:val="24"/>
          <w:lang w:val="en-GB"/>
        </w:rPr>
      </w:pPr>
    </w:p>
    <w:p w:rsidR="00F33E43" w:rsidRDefault="00F33E43" w:rsidP="0013536E">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High Energy Physics </w:t>
      </w:r>
      <w:r w:rsidRPr="0013536E">
        <w:rPr>
          <w:rFonts w:ascii="Times New Roman" w:hAnsi="Times New Roman" w:cs="Times New Roman"/>
          <w:sz w:val="24"/>
          <w:szCs w:val="24"/>
          <w:lang w:val="en-GB"/>
        </w:rPr>
        <w:t>does not have any additional requirements, but they do</w:t>
      </w:r>
      <w:r w:rsidR="007F705E">
        <w:rPr>
          <w:rFonts w:ascii="Times New Roman" w:hAnsi="Times New Roman" w:cs="Times New Roman"/>
          <w:sz w:val="24"/>
          <w:szCs w:val="24"/>
          <w:lang w:val="en-GB"/>
        </w:rPr>
        <w:t xml:space="preserve"> provide additional guidance on experiments, simulations and computations, theory and combinations of these activities.</w:t>
      </w:r>
    </w:p>
    <w:p w:rsidR="007F705E" w:rsidRDefault="007F705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7F705E" w:rsidRDefault="007F705E" w:rsidP="0013536E">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If researchers plan to use a</w:t>
      </w:r>
      <w:r w:rsidRPr="007F705E">
        <w:rPr>
          <w:rFonts w:ascii="Times New Roman" w:hAnsi="Times New Roman" w:cs="Times New Roman"/>
          <w:sz w:val="24"/>
          <w:szCs w:val="24"/>
          <w:lang w:val="en-GB"/>
        </w:rPr>
        <w:t>n Office of Science User Facility as part of the proposed research, they should consult the description of data management resources and practices at that facility.</w:t>
      </w:r>
      <w:r>
        <w:rPr>
          <w:rFonts w:ascii="Times New Roman" w:hAnsi="Times New Roman" w:cs="Times New Roman"/>
          <w:sz w:val="24"/>
          <w:szCs w:val="24"/>
          <w:lang w:val="en-GB"/>
        </w:rPr>
        <w:t xml:space="preserve"> </w:t>
      </w:r>
      <w:hyperlink r:id="rId11" w:history="1">
        <w:r w:rsidRPr="00BA475B">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F33E43" w:rsidRPr="0013536E" w:rsidRDefault="00F33E43" w:rsidP="0013536E">
      <w:pPr>
        <w:widowControl w:val="0"/>
        <w:autoSpaceDE w:val="0"/>
        <w:autoSpaceDN w:val="0"/>
        <w:adjustRightInd w:val="0"/>
        <w:spacing w:after="0" w:line="240" w:lineRule="auto"/>
        <w:rPr>
          <w:rFonts w:ascii="Times New Roman" w:hAnsi="Times New Roman" w:cs="Times New Roman"/>
          <w:b/>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Experiments</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Research proposals that are part of larger collaborative experiments may cite the digital data policies and/or practices of their collaboration, along with any activities relevant to their specific proposal in their DMPs. It is expected that some additional information pertaining to collaboration practices/policies will be publicly available on the websites of the US Lead lab for each experiment.</w:t>
      </w:r>
      <w:r>
        <w:rPr>
          <w:rFonts w:ascii="Times New Roman" w:hAnsi="Times New Roman" w:cs="Times New Roman"/>
          <w:sz w:val="24"/>
          <w:szCs w:val="24"/>
          <w:lang w:val="en-GB"/>
        </w:rPr>
        <w:t xml:space="preserve"> </w:t>
      </w: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Simulations and Computations</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Research proposals that focus on simulations or computations that fall within the scope of larger experiments or collaborations may cite the Data Management Plans for their host experiments or collaborations – expected to be available on the web sites of the Lead US Lab for the Collaboration.</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If simulation and computation proposals to HEP are requesting co- funding by Office of Science Programs other than HEP, they should follow the guidelines of the partnership FOA.</w:t>
      </w:r>
      <w:r>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Theory</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If the theoretical proposal is part of a larger collaboration the data practices/policy of the collaboration may be cited.</w:t>
      </w: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t>Other</w:t>
      </w:r>
    </w:p>
    <w:p w:rsidR="007F705E" w:rsidRP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7F705E" w:rsidRDefault="007F705E" w:rsidP="007F705E">
      <w:pPr>
        <w:widowControl w:val="0"/>
        <w:autoSpaceDE w:val="0"/>
        <w:autoSpaceDN w:val="0"/>
        <w:adjustRightInd w:val="0"/>
        <w:spacing w:after="0" w:line="240" w:lineRule="auto"/>
        <w:rPr>
          <w:rFonts w:ascii="Times New Roman" w:hAnsi="Times New Roman" w:cs="Times New Roman"/>
          <w:sz w:val="24"/>
          <w:szCs w:val="24"/>
          <w:lang w:val="en-GB"/>
        </w:rPr>
      </w:pPr>
      <w:r w:rsidRPr="007F705E">
        <w:rPr>
          <w:rFonts w:ascii="Times New Roman" w:hAnsi="Times New Roman" w:cs="Times New Roman"/>
          <w:sz w:val="24"/>
          <w:szCs w:val="24"/>
          <w:lang w:val="en-GB"/>
        </w:rPr>
        <w:lastRenderedPageBreak/>
        <w:t>If research proposals combine experimental, theory, simulation, computing, and/or technology research activities, DMPS may address these categories individually or collectively as relevant.</w:t>
      </w:r>
      <w:r>
        <w:rPr>
          <w:rFonts w:ascii="Times New Roman" w:hAnsi="Times New Roman" w:cs="Times New Roman"/>
          <w:sz w:val="24"/>
          <w:szCs w:val="24"/>
          <w:lang w:val="en-GB"/>
        </w:rPr>
        <w:t xml:space="preserve"> </w:t>
      </w:r>
    </w:p>
    <w:p w:rsidR="00072052" w:rsidRDefault="00072052" w:rsidP="007F705E">
      <w:pPr>
        <w:widowControl w:val="0"/>
        <w:autoSpaceDE w:val="0"/>
        <w:autoSpaceDN w:val="0"/>
        <w:adjustRightInd w:val="0"/>
        <w:spacing w:after="0" w:line="240" w:lineRule="auto"/>
        <w:rPr>
          <w:rFonts w:ascii="Times New Roman" w:hAnsi="Times New Roman" w:cs="Times New Roman"/>
          <w:sz w:val="24"/>
          <w:szCs w:val="24"/>
          <w:lang w:val="en-GB"/>
        </w:rPr>
      </w:pPr>
    </w:p>
    <w:p w:rsidR="00072052" w:rsidRDefault="00072052" w:rsidP="00072052">
      <w:pPr>
        <w:rPr>
          <w:rFonts w:ascii="Times New Roman" w:hAnsi="Times New Roman"/>
          <w:sz w:val="24"/>
          <w:szCs w:val="24"/>
        </w:rPr>
      </w:pPr>
      <w:r>
        <w:rPr>
          <w:rFonts w:ascii="Times New Roman" w:hAnsi="Times New Roman"/>
          <w:sz w:val="24"/>
          <w:szCs w:val="24"/>
        </w:rPr>
        <w:t xml:space="preserve">HEP User Facilities: </w:t>
      </w:r>
      <w:hyperlink r:id="rId12" w:history="1">
        <w:r>
          <w:rPr>
            <w:rStyle w:val="Hyperlink"/>
            <w:rFonts w:ascii="Times New Roman" w:hAnsi="Times New Roman"/>
            <w:sz w:val="24"/>
            <w:szCs w:val="24"/>
          </w:rPr>
          <w:t>http://science.energy.gov/user-facilities/user-facilities-at-a-glance/hep/</w:t>
        </w:r>
      </w:hyperlink>
      <w:r>
        <w:rPr>
          <w:rFonts w:ascii="Times New Roman" w:hAnsi="Times New Roman"/>
          <w:sz w:val="24"/>
          <w:szCs w:val="24"/>
        </w:rPr>
        <w:t xml:space="preserve"> </w:t>
      </w:r>
    </w:p>
    <w:p w:rsidR="00072052" w:rsidRDefault="00072052" w:rsidP="00072052">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Fermilab Data Management Practices and Policies: </w:t>
      </w:r>
      <w:hyperlink r:id="rId13" w:history="1">
        <w:r>
          <w:rPr>
            <w:rStyle w:val="Hyperlink"/>
            <w:rFonts w:ascii="Times New Roman" w:hAnsi="Times New Roman"/>
            <w:sz w:val="24"/>
            <w:szCs w:val="24"/>
          </w:rPr>
          <w:t>http://computing.fnal.gov/xms/Science_% 26_Computing/Policies_and_Publications/Data_Management_Practices_and_Policies_for_Fermilab_Facility</w:t>
        </w:r>
      </w:hyperlink>
      <w:r>
        <w:rPr>
          <w:rFonts w:ascii="Times New Roman" w:hAnsi="Times New Roman"/>
          <w:sz w:val="24"/>
          <w:szCs w:val="24"/>
        </w:rPr>
        <w:t xml:space="preserve"> </w:t>
      </w:r>
    </w:p>
    <w:p w:rsidR="00072052" w:rsidRDefault="00072052" w:rsidP="00072052">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Fermilab Default Data Management Plan for Fermilab Experiments: </w:t>
      </w:r>
      <w:hyperlink r:id="rId14" w:history="1">
        <w:r>
          <w:rPr>
            <w:rStyle w:val="Hyperlink"/>
            <w:rFonts w:ascii="Times New Roman" w:hAnsi="Times New Roman"/>
            <w:sz w:val="24"/>
            <w:szCs w:val="24"/>
          </w:rPr>
          <w:t>http://computing.fnal.gov/xms/Science_%26_Computing/Policies_and_Publications/Data_Management_Practices_and_Policies_for_Fermilab_Experiments</w:t>
        </w:r>
      </w:hyperlink>
      <w:r>
        <w:rPr>
          <w:rFonts w:ascii="Times New Roman" w:hAnsi="Times New Roman"/>
          <w:sz w:val="24"/>
          <w:szCs w:val="24"/>
        </w:rPr>
        <w:t xml:space="preserve"> </w:t>
      </w:r>
    </w:p>
    <w:p w:rsidR="00072052" w:rsidRDefault="00072052" w:rsidP="00072052">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FACET Data at FACET &amp; Test Facilities:  </w:t>
      </w:r>
      <w:hyperlink r:id="rId15" w:history="1">
        <w:r>
          <w:rPr>
            <w:rStyle w:val="Hyperlink"/>
            <w:rFonts w:ascii="Times New Roman" w:hAnsi="Times New Roman"/>
            <w:sz w:val="24"/>
            <w:szCs w:val="24"/>
          </w:rPr>
          <w:t>https://portal.slac.stanford.edu/sites/ard_public/facet/facilities/Pages/DataHandling.aspx</w:t>
        </w:r>
      </w:hyperlink>
      <w:r>
        <w:rPr>
          <w:rFonts w:ascii="Times New Roman" w:hAnsi="Times New Roman"/>
          <w:sz w:val="24"/>
          <w:szCs w:val="24"/>
        </w:rPr>
        <w:t xml:space="preserve"> </w:t>
      </w:r>
    </w:p>
    <w:p w:rsidR="00072052" w:rsidRDefault="00072052" w:rsidP="00072052">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ATF Data Management at ATF: </w:t>
      </w:r>
      <w:hyperlink r:id="rId16" w:history="1">
        <w:r>
          <w:rPr>
            <w:rStyle w:val="Hyperlink"/>
            <w:rFonts w:ascii="Times New Roman" w:hAnsi="Times New Roman"/>
            <w:sz w:val="24"/>
            <w:szCs w:val="24"/>
          </w:rPr>
          <w:t>https://www.bnl.gov/atf/users/</w:t>
        </w:r>
      </w:hyperlink>
      <w:r>
        <w:rPr>
          <w:rFonts w:ascii="Times New Roman" w:hAnsi="Times New Roman"/>
          <w:sz w:val="24"/>
          <w:szCs w:val="24"/>
        </w:rPr>
        <w:t xml:space="preserve"> </w:t>
      </w:r>
    </w:p>
    <w:p w:rsidR="00072052" w:rsidRPr="0013536E" w:rsidRDefault="00072052" w:rsidP="007F705E">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Start w:id="0" w:name="_GoBack"/>
      <w:bookmarkEnd w:id="0"/>
    </w:p>
    <w:sectPr w:rsidR="00072052" w:rsidRPr="0013536E">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E3C8F"/>
    <w:multiLevelType w:val="hybridMultilevel"/>
    <w:tmpl w:val="0BAAB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72052"/>
    <w:rsid w:val="000A1D8D"/>
    <w:rsid w:val="0013536E"/>
    <w:rsid w:val="002D001C"/>
    <w:rsid w:val="003B6FFF"/>
    <w:rsid w:val="004744E1"/>
    <w:rsid w:val="005C50AD"/>
    <w:rsid w:val="005F6254"/>
    <w:rsid w:val="00664BC9"/>
    <w:rsid w:val="00716E33"/>
    <w:rsid w:val="00742116"/>
    <w:rsid w:val="007D6CB4"/>
    <w:rsid w:val="007F705E"/>
    <w:rsid w:val="008810CA"/>
    <w:rsid w:val="008B4684"/>
    <w:rsid w:val="00AC153A"/>
    <w:rsid w:val="00EC48E9"/>
    <w:rsid w:val="00EE397D"/>
    <w:rsid w:val="00F3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3540">
      <w:bodyDiv w:val="1"/>
      <w:marLeft w:val="0"/>
      <w:marRight w:val="0"/>
      <w:marTop w:val="0"/>
      <w:marBottom w:val="0"/>
      <w:divBdr>
        <w:top w:val="none" w:sz="0" w:space="0" w:color="auto"/>
        <w:left w:val="none" w:sz="0" w:space="0" w:color="auto"/>
        <w:bottom w:val="none" w:sz="0" w:space="0" w:color="auto"/>
        <w:right w:val="none" w:sz="0" w:space="0" w:color="auto"/>
      </w:divBdr>
    </w:div>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967124466">
      <w:bodyDiv w:val="1"/>
      <w:marLeft w:val="0"/>
      <w:marRight w:val="0"/>
      <w:marTop w:val="0"/>
      <w:marBottom w:val="0"/>
      <w:divBdr>
        <w:top w:val="none" w:sz="0" w:space="0" w:color="auto"/>
        <w:left w:val="none" w:sz="0" w:space="0" w:color="auto"/>
        <w:bottom w:val="none" w:sz="0" w:space="0" w:color="auto"/>
        <w:right w:val="none" w:sz="0" w:space="0" w:color="auto"/>
      </w:divBdr>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
    <w:div w:id="106464511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325162907">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13" Type="http://schemas.openxmlformats.org/officeDocument/2006/relationships/hyperlink" Target="http://computing.fnal.gov/xms/Science_%25%2026_Computing/Policies_and_Publications/Data_Management_Practices_and_Policies_for_Fermilab_Facili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hyperlink" Target="http://science.energy.gov/user-facilities/user-facilities-at-a-glance/h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nl.gov/atf/users/" TargetMode="Externa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hyperlink" Target="http://science.energy.gov/funding-opportunities/digital-data-management/resources-at-sc-user-facilities/" TargetMode="External"/><Relationship Id="rId5" Type="http://schemas.openxmlformats.org/officeDocument/2006/relationships/webSettings" Target="webSettings.xml"/><Relationship Id="rId15" Type="http://schemas.openxmlformats.org/officeDocument/2006/relationships/hyperlink" Target="https://portal.slac.stanford.edu/sites/ard_public/facet/facilities/Pages/DataHandling.aspx" TargetMode="External"/><Relationship Id="rId10" Type="http://schemas.openxmlformats.org/officeDocument/2006/relationships/hyperlink" Target="http://science.energy.gov/funding-opportunities/digital-data-management/" TargetMode="Externa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 Id="rId14" Type="http://schemas.openxmlformats.org/officeDocument/2006/relationships/hyperlink" Target="http://computing.fnal.gov/xms/Science_%26_Computing/Policies_and_Publications/Data_Management_Practices_and_Policies_for_Fermilab_Experi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18</cp:revision>
  <dcterms:created xsi:type="dcterms:W3CDTF">2014-08-05T16:46:00Z</dcterms:created>
  <dcterms:modified xsi:type="dcterms:W3CDTF">2015-10-20T21:40:00Z</dcterms:modified>
</cp:coreProperties>
</file>