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drawing>
          <wp:inline distT="0" distB="0" distL="0" distR="0">
            <wp:extent cx="1828800" cy="195072"/>
            <wp:effectExtent t="0" r="0" b="0" l="0"/>
            <wp:docPr id="1" name="UVA Library Logo" descr="University of Virginia Library logo" title="UVA Libr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828800" cy="195072"/>
                    </a:xfrm>
                    <a:prstGeom prst="rect">
                      <a:avLst/>
                    </a:prstGeom>
                  </pic:spPr>
                </pic:pic>
              </a:graphicData>
            </a:graphic>
          </wp:inline>
        </w:drawing>
      </w:r>
    </w:p>
    <w:p>
      <w:pPr>
        <w:pStyle w:val="Heading1"/>
        <w:spacing w:after="80"/>
      </w:pPr>
      <w:r>
        <w:rPr>
          <w:rFonts w:ascii="Open Sans" w:cs="Open Sans" w:eastAsia="Open Sans" w:hAnsi="Open Sans"/>
          <w:b/>
          <w:bCs/>
          <w:color w:val="232D4B"/>
          <w:sz w:val="36"/>
          <w:szCs w:val="36"/>
        </w:rPr>
        <w:t xml:space="preserve">Association of Research Libraries Statistics</w:t>
      </w:r>
    </w:p>
    <w:p>
      <w:pPr>
        <w:pStyle w:val="Heading2"/>
        <w:spacing w:after="200"/>
      </w:pPr>
      <w:r>
        <w:rPr>
          <w:rFonts w:ascii="Open Sans" w:cs="Open Sans" w:eastAsia="Open Sans" w:hAnsi="Open Sans"/>
          <w:color w:val="232D4B"/>
          <w:sz w:val="28"/>
          <w:szCs w:val="28"/>
        </w:rPr>
        <w:t xml:space="preserve">University of Virginia | Fiscal Year 2024</w:t>
      </w:r>
    </w:p>
    <w:p>
      <w:pPr>
        <w:spacing w:after="300"/>
      </w:pPr>
      <w:r>
        <w:rPr>
          <w:rFonts w:ascii="Open Sans" w:cs="Open Sans" w:eastAsia="Open Sans" w:hAnsi="Open Sans"/>
          <w:i/>
          <w:iCs/>
          <w:color w:val="232D4B"/>
          <w:sz w:val="20"/>
          <w:szCs w:val="20"/>
        </w:rPr>
        <w:t xml:space="preserve">Data reported to the Association of Research Libraries (ARL) Annual Statistics Survey. Values reflect the fiscal year indicated above. "Not reported" indicates data was unavailable or not submitted for this reporting period.</w:t>
      </w:r>
    </w:p>
    <w:p>
      <w:pPr>
        <w:pStyle w:val="Heading2"/>
        <w:keepNext/>
        <w:spacing w:after="160" w:before="360"/>
      </w:pPr>
      <w:r>
        <w:rPr>
          <w:rFonts w:ascii="Open Sans" w:cs="Open Sans" w:eastAsia="Open Sans" w:hAnsi="Open Sans"/>
          <w:b/>
          <w:bCs/>
          <w:color w:val="232D4B"/>
          <w:sz w:val="26"/>
          <w:szCs w:val="26"/>
        </w:rPr>
        <w:t xml:space="preserve">Institutional Ranking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84"/>
        <w:gridCol w:w="3276"/>
      </w:tblGrid>
      <w:tr>
        <w:trPr>
          <w:cantSplit/>
          <w:tblHeader/>
        </w:trPr>
        <w:tc>
          <w:tcPr>
            <w:tcW w:type="dxa" w:w="6084"/>
            <w:shd w:fill="232D4B" w:color="auto" w:val="clear"/>
          </w:tcPr>
          <w:p>
            <w:pPr>
              <w:keepNext/>
              <w:keepLines/>
              <w:spacing w:after="60" w:before="60"/>
            </w:pPr>
            <w:r>
              <w:rPr>
                <w:rFonts w:ascii="Open Sans" w:cs="Open Sans" w:eastAsia="Open Sans" w:hAnsi="Open Sans"/>
                <w:b/>
                <w:bCs/>
                <w:color w:val="FFFFFF"/>
                <w:sz w:val="20"/>
                <w:szCs w:val="20"/>
              </w:rPr>
              <w:t xml:space="preserve">Measure</w:t>
            </w:r>
          </w:p>
        </w:tc>
        <w:tc>
          <w:tcPr>
            <w:tcW w:type="dxa" w:w="3276"/>
            <w:shd w:fill="232D4B" w:color="auto" w:val="clear"/>
          </w:tcPr>
          <w:p>
            <w:pPr>
              <w:keepNext/>
              <w:keepLines/>
              <w:spacing w:after="60" w:before="60"/>
              <w:jc w:val="right"/>
            </w:pPr>
            <w:r>
              <w:rPr>
                <w:rFonts w:ascii="Open Sans" w:cs="Open Sans" w:eastAsia="Open Sans" w:hAnsi="Open Sans"/>
                <w:b/>
                <w:bCs/>
                <w:color w:val="FFFFFF"/>
                <w:sz w:val="20"/>
                <w:szCs w:val="20"/>
              </w:rPr>
              <w:t xml:space="preserve">Value</w:t>
            </w:r>
          </w:p>
        </w:tc>
      </w:tr>
      <w:tr>
        <w:trPr>
          <w:cantSplit/>
        </w:trPr>
        <w:tc>
          <w:tcPr>
            <w:tcW w:type="dxa" w:w="6084"/>
            <w:shd w:fill="FFFFFF" w:color="auto" w:val="clear"/>
          </w:tcPr>
          <w:p>
            <w:pPr>
              <w:keepNext w:val="false"/>
              <w:keepLines/>
              <w:spacing w:after="40" w:before="40"/>
            </w:pPr>
            <w:r>
              <w:rPr>
                <w:rFonts w:ascii="Open Sans" w:cs="Open Sans" w:eastAsia="Open Sans" w:hAnsi="Open Sans"/>
                <w:sz w:val="20"/>
                <w:szCs w:val="20"/>
              </w:rPr>
              <w:t xml:space="preserve">ARL Investment Index Rank</w:t>
            </w:r>
          </w:p>
        </w:tc>
        <w:tc>
          <w:tcPr>
            <w:tcW w:type="dxa" w:w="3276"/>
            <w:shd w:fill="FFFFFF" w:color="auto" w:val="clear"/>
          </w:tcPr>
          <w:p>
            <w:pPr>
              <w:keepNext w:val="false"/>
              <w:keepLines/>
              <w:spacing w:after="40" w:before="40"/>
              <w:jc w:val="right"/>
            </w:pPr>
            <w:r>
              <w:rPr>
                <w:rFonts w:ascii="Open Sans" w:cs="Open Sans" w:eastAsia="Open Sans" w:hAnsi="Open Sans"/>
                <w:sz w:val="20"/>
                <w:szCs w:val="20"/>
              </w:rPr>
              <w:t xml:space="preserve">20</w:t>
            </w:r>
          </w:p>
        </w:tc>
      </w:tr>
    </w:tbl>
    <w:p>
      <w:pPr>
        <w:pStyle w:val="Heading2"/>
        <w:keepNext/>
        <w:spacing w:after="160" w:before="360"/>
      </w:pPr>
      <w:r>
        <w:rPr>
          <w:rFonts w:ascii="Open Sans" w:cs="Open Sans" w:eastAsia="Open Sans" w:hAnsi="Open Sans"/>
          <w:b/>
          <w:bCs/>
          <w:color w:val="232D4B"/>
          <w:sz w:val="26"/>
          <w:szCs w:val="26"/>
        </w:rPr>
        <w:t xml:space="preserve">Collections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84"/>
        <w:gridCol w:w="3276"/>
      </w:tblGrid>
      <w:tr>
        <w:trPr>
          <w:cantSplit/>
          <w:tblHeader/>
        </w:trPr>
        <w:tc>
          <w:tcPr>
            <w:tcW w:type="dxa" w:w="6084"/>
            <w:shd w:fill="232D4B" w:color="auto" w:val="clear"/>
          </w:tcPr>
          <w:p>
            <w:pPr>
              <w:keepNext/>
              <w:keepLines/>
              <w:spacing w:after="60" w:before="60"/>
            </w:pPr>
            <w:r>
              <w:rPr>
                <w:rFonts w:ascii="Open Sans" w:cs="Open Sans" w:eastAsia="Open Sans" w:hAnsi="Open Sans"/>
                <w:b/>
                <w:bCs/>
                <w:color w:val="FFFFFF"/>
                <w:sz w:val="20"/>
                <w:szCs w:val="20"/>
              </w:rPr>
              <w:t xml:space="preserve">Measure</w:t>
            </w:r>
          </w:p>
        </w:tc>
        <w:tc>
          <w:tcPr>
            <w:tcW w:type="dxa" w:w="3276"/>
            <w:shd w:fill="232D4B" w:color="auto" w:val="clear"/>
          </w:tcPr>
          <w:p>
            <w:pPr>
              <w:keepNext/>
              <w:keepLines/>
              <w:spacing w:after="60" w:before="60"/>
              <w:jc w:val="right"/>
            </w:pPr>
            <w:r>
              <w:rPr>
                <w:rFonts w:ascii="Open Sans" w:cs="Open Sans" w:eastAsia="Open Sans" w:hAnsi="Open Sans"/>
                <w:b/>
                <w:bCs/>
                <w:color w:val="FFFFFF"/>
                <w:sz w:val="20"/>
                <w:szCs w:val="20"/>
              </w:rPr>
              <w:t xml:space="preserve">Value</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Volumes Held</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8,485,633</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Titles Held</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8,103,291</w:t>
            </w:r>
          </w:p>
        </w:tc>
      </w:tr>
      <w:tr>
        <w:trPr>
          <w:cantSplit/>
        </w:trPr>
        <w:tc>
          <w:tcPr>
            <w:tcW w:type="dxa" w:w="6084"/>
            <w:shd w:fill="FFFFFF" w:color="auto" w:val="clear"/>
          </w:tcPr>
          <w:p>
            <w:pPr>
              <w:keepNext w:val="false"/>
              <w:keepLines/>
              <w:spacing w:after="40" w:before="40"/>
            </w:pPr>
            <w:r>
              <w:rPr>
                <w:rFonts w:ascii="Open Sans" w:cs="Open Sans" w:eastAsia="Open Sans" w:hAnsi="Open Sans"/>
                <w:sz w:val="20"/>
                <w:szCs w:val="20"/>
              </w:rPr>
              <w:t xml:space="preserve">Electronic Books</w:t>
            </w:r>
          </w:p>
        </w:tc>
        <w:tc>
          <w:tcPr>
            <w:tcW w:type="dxa" w:w="3276"/>
            <w:shd w:fill="FFFFFF" w:color="auto" w:val="clear"/>
          </w:tcPr>
          <w:p>
            <w:pPr>
              <w:keepNext w:val="false"/>
              <w:keepLines/>
              <w:spacing w:after="40" w:before="40"/>
              <w:jc w:val="right"/>
            </w:pPr>
            <w:r>
              <w:rPr>
                <w:rFonts w:ascii="Open Sans" w:cs="Open Sans" w:eastAsia="Open Sans" w:hAnsi="Open Sans"/>
                <w:sz w:val="20"/>
                <w:szCs w:val="20"/>
              </w:rPr>
              <w:t xml:space="preserve">3,104,183</w:t>
            </w:r>
          </w:p>
        </w:tc>
      </w:tr>
    </w:tbl>
    <w:p>
      <w:pPr>
        <w:pStyle w:val="Heading2"/>
        <w:keepNext/>
        <w:spacing w:after="160" w:before="360"/>
      </w:pPr>
      <w:r>
        <w:rPr>
          <w:rFonts w:ascii="Open Sans" w:cs="Open Sans" w:eastAsia="Open Sans" w:hAnsi="Open Sans"/>
          <w:b/>
          <w:bCs/>
          <w:color w:val="232D4B"/>
          <w:sz w:val="26"/>
          <w:szCs w:val="26"/>
        </w:rPr>
        <w:t xml:space="preserve">Services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84"/>
        <w:gridCol w:w="3276"/>
      </w:tblGrid>
      <w:tr>
        <w:trPr>
          <w:cantSplit/>
          <w:tblHeader/>
        </w:trPr>
        <w:tc>
          <w:tcPr>
            <w:tcW w:type="dxa" w:w="6084"/>
            <w:shd w:fill="232D4B" w:color="auto" w:val="clear"/>
          </w:tcPr>
          <w:p>
            <w:pPr>
              <w:keepNext/>
              <w:keepLines/>
              <w:spacing w:after="60" w:before="60"/>
            </w:pPr>
            <w:r>
              <w:rPr>
                <w:rFonts w:ascii="Open Sans" w:cs="Open Sans" w:eastAsia="Open Sans" w:hAnsi="Open Sans"/>
                <w:b/>
                <w:bCs/>
                <w:color w:val="FFFFFF"/>
                <w:sz w:val="20"/>
                <w:szCs w:val="20"/>
              </w:rPr>
              <w:t xml:space="preserve">Measure</w:t>
            </w:r>
          </w:p>
        </w:tc>
        <w:tc>
          <w:tcPr>
            <w:tcW w:type="dxa" w:w="3276"/>
            <w:shd w:fill="232D4B" w:color="auto" w:val="clear"/>
          </w:tcPr>
          <w:p>
            <w:pPr>
              <w:keepNext/>
              <w:keepLines/>
              <w:spacing w:after="60" w:before="60"/>
              <w:jc w:val="right"/>
            </w:pPr>
            <w:r>
              <w:rPr>
                <w:rFonts w:ascii="Open Sans" w:cs="Open Sans" w:eastAsia="Open Sans" w:hAnsi="Open Sans"/>
                <w:b/>
                <w:bCs/>
                <w:color w:val="FFFFFF"/>
                <w:sz w:val="20"/>
                <w:szCs w:val="20"/>
              </w:rPr>
              <w:t xml:space="preserve">Value</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Initial Circulation</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92,669</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Reference Queries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15,423</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Group Presentations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1,053</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Presentation Participants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20,871</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Interlibrary Lending</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11,194</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Interlibrary Borrowing</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12,239</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Successful Full-Text Article Requests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4,123,481</w:t>
            </w:r>
          </w:p>
        </w:tc>
      </w:tr>
      <w:tr>
        <w:trPr>
          <w:cantSplit/>
        </w:trPr>
        <w:tc>
          <w:tcPr>
            <w:tcW w:type="dxa" w:w="6084"/>
            <w:shd w:fill="F2F2F2" w:color="auto" w:val="clear"/>
          </w:tcPr>
          <w:p>
            <w:pPr>
              <w:keepNext w:val="false"/>
              <w:keepLines/>
              <w:spacing w:after="40" w:before="40"/>
            </w:pPr>
            <w:r>
              <w:rPr>
                <w:rFonts w:ascii="Open Sans" w:cs="Open Sans" w:eastAsia="Open Sans" w:hAnsi="Open Sans"/>
                <w:sz w:val="20"/>
                <w:szCs w:val="20"/>
              </w:rPr>
              <w:t xml:space="preserve">Database Searches</w:t>
            </w:r>
          </w:p>
        </w:tc>
        <w:tc>
          <w:tcPr>
            <w:tcW w:type="dxa" w:w="3276"/>
            <w:shd w:fill="F2F2F2" w:color="auto" w:val="clear"/>
          </w:tcPr>
          <w:p>
            <w:pPr>
              <w:keepNext w:val="false"/>
              <w:keepLines/>
              <w:spacing w:after="40" w:before="40"/>
              <w:jc w:val="right"/>
            </w:pPr>
            <w:r>
              <w:rPr>
                <w:rFonts w:ascii="Open Sans" w:cs="Open Sans" w:eastAsia="Open Sans" w:hAnsi="Open Sans"/>
                <w:sz w:val="20"/>
                <w:szCs w:val="20"/>
              </w:rPr>
              <w:t xml:space="preserve">4,447,528</w:t>
            </w:r>
          </w:p>
        </w:tc>
      </w:tr>
    </w:tbl>
    <w:p>
      <w:pPr>
        <w:pStyle w:val="Heading2"/>
        <w:keepNext/>
        <w:spacing w:after="160" w:before="360"/>
      </w:pPr>
      <w:r>
        <w:rPr>
          <w:rFonts w:ascii="Open Sans" w:cs="Open Sans" w:eastAsia="Open Sans" w:hAnsi="Open Sans"/>
          <w:b/>
          <w:bCs/>
          <w:color w:val="232D4B"/>
          <w:sz w:val="26"/>
          <w:szCs w:val="26"/>
        </w:rPr>
        <w:t xml:space="preserve">Staffing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84"/>
        <w:gridCol w:w="3276"/>
      </w:tblGrid>
      <w:tr>
        <w:trPr>
          <w:cantSplit/>
          <w:tblHeader/>
        </w:trPr>
        <w:tc>
          <w:tcPr>
            <w:tcW w:type="dxa" w:w="6084"/>
            <w:shd w:fill="232D4B" w:color="auto" w:val="clear"/>
          </w:tcPr>
          <w:p>
            <w:pPr>
              <w:keepNext/>
              <w:keepLines/>
              <w:spacing w:after="60" w:before="60"/>
            </w:pPr>
            <w:r>
              <w:rPr>
                <w:rFonts w:ascii="Open Sans" w:cs="Open Sans" w:eastAsia="Open Sans" w:hAnsi="Open Sans"/>
                <w:b/>
                <w:bCs/>
                <w:color w:val="FFFFFF"/>
                <w:sz w:val="20"/>
                <w:szCs w:val="20"/>
              </w:rPr>
              <w:t xml:space="preserve">Measure</w:t>
            </w:r>
          </w:p>
        </w:tc>
        <w:tc>
          <w:tcPr>
            <w:tcW w:type="dxa" w:w="3276"/>
            <w:shd w:fill="232D4B" w:color="auto" w:val="clear"/>
          </w:tcPr>
          <w:p>
            <w:pPr>
              <w:keepNext/>
              <w:keepLines/>
              <w:spacing w:after="60" w:before="60"/>
              <w:jc w:val="right"/>
            </w:pPr>
            <w:r>
              <w:rPr>
                <w:rFonts w:ascii="Open Sans" w:cs="Open Sans" w:eastAsia="Open Sans" w:hAnsi="Open Sans"/>
                <w:b/>
                <w:bCs/>
                <w:color w:val="FFFFFF"/>
                <w:sz w:val="20"/>
                <w:szCs w:val="20"/>
              </w:rPr>
              <w:t xml:space="preserve">Value</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Professional Staff (FTE)</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165</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Support Staff (FTE)</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89</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Student Assistants (FTE)</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39</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Total Professional and Support Staff</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254</w:t>
            </w:r>
          </w:p>
        </w:tc>
      </w:tr>
      <w:tr>
        <w:trPr>
          <w:cantSplit/>
        </w:trPr>
        <w:tc>
          <w:tcPr>
            <w:tcW w:type="dxa" w:w="6084"/>
            <w:shd w:fill="FFFFFF" w:color="auto" w:val="clear"/>
          </w:tcPr>
          <w:p>
            <w:pPr>
              <w:keepNext w:val="false"/>
              <w:keepLines/>
              <w:spacing w:after="40" w:before="40"/>
            </w:pPr>
            <w:r>
              <w:rPr>
                <w:rFonts w:ascii="Open Sans" w:cs="Open Sans" w:eastAsia="Open Sans" w:hAnsi="Open Sans"/>
                <w:sz w:val="20"/>
                <w:szCs w:val="20"/>
              </w:rPr>
              <w:t xml:space="preserve">Total Staff (Including Students)</w:t>
            </w:r>
          </w:p>
        </w:tc>
        <w:tc>
          <w:tcPr>
            <w:tcW w:type="dxa" w:w="3276"/>
            <w:shd w:fill="FFFFFF" w:color="auto" w:val="clear"/>
          </w:tcPr>
          <w:p>
            <w:pPr>
              <w:keepNext w:val="false"/>
              <w:keepLines/>
              <w:spacing w:after="40" w:before="40"/>
              <w:jc w:val="right"/>
            </w:pPr>
            <w:r>
              <w:rPr>
                <w:rFonts w:ascii="Open Sans" w:cs="Open Sans" w:eastAsia="Open Sans" w:hAnsi="Open Sans"/>
                <w:sz w:val="20"/>
                <w:szCs w:val="20"/>
              </w:rPr>
              <w:t xml:space="preserve">293</w:t>
            </w:r>
          </w:p>
        </w:tc>
      </w:tr>
    </w:tbl>
    <w:p>
      <w:pPr>
        <w:pStyle w:val="Heading2"/>
        <w:keepNext/>
        <w:spacing w:after="160" w:before="360"/>
      </w:pPr>
      <w:r>
        <w:rPr>
          <w:rFonts w:ascii="Open Sans" w:cs="Open Sans" w:eastAsia="Open Sans" w:hAnsi="Open Sans"/>
          <w:b/>
          <w:bCs/>
          <w:color w:val="232D4B"/>
          <w:sz w:val="26"/>
          <w:szCs w:val="26"/>
        </w:rPr>
        <w:t xml:space="preserve">Expenditures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84"/>
        <w:gridCol w:w="3276"/>
      </w:tblGrid>
      <w:tr>
        <w:trPr>
          <w:cantSplit/>
          <w:tblHeader/>
        </w:trPr>
        <w:tc>
          <w:tcPr>
            <w:tcW w:type="dxa" w:w="6084"/>
            <w:shd w:fill="232D4B" w:color="auto" w:val="clear"/>
          </w:tcPr>
          <w:p>
            <w:pPr>
              <w:keepNext/>
              <w:keepLines/>
              <w:spacing w:after="60" w:before="60"/>
            </w:pPr>
            <w:r>
              <w:rPr>
                <w:rFonts w:ascii="Open Sans" w:cs="Open Sans" w:eastAsia="Open Sans" w:hAnsi="Open Sans"/>
                <w:b/>
                <w:bCs/>
                <w:color w:val="FFFFFF"/>
                <w:sz w:val="20"/>
                <w:szCs w:val="20"/>
              </w:rPr>
              <w:t xml:space="preserve">Measure</w:t>
            </w:r>
          </w:p>
        </w:tc>
        <w:tc>
          <w:tcPr>
            <w:tcW w:type="dxa" w:w="3276"/>
            <w:shd w:fill="232D4B" w:color="auto" w:val="clear"/>
          </w:tcPr>
          <w:p>
            <w:pPr>
              <w:keepNext/>
              <w:keepLines/>
              <w:spacing w:after="60" w:before="60"/>
              <w:jc w:val="right"/>
            </w:pPr>
            <w:r>
              <w:rPr>
                <w:rFonts w:ascii="Open Sans" w:cs="Open Sans" w:eastAsia="Open Sans" w:hAnsi="Open Sans"/>
                <w:b/>
                <w:bCs/>
                <w:color w:val="FFFFFF"/>
                <w:sz w:val="20"/>
                <w:szCs w:val="20"/>
              </w:rPr>
              <w:t xml:space="preserve">Value</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Total Materials Expenditures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$17,147,456</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One-Time Resource Purchases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$5,406,224</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Ongoing Resource Purchases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$11,639,809</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Collection Support</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$101,423</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Professional Salaries and Wages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$17,589,443</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Support Staff Salaries and Wages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$4,180,093</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Student Assistant Wages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$1,355,813</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Total Salaries and Wages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$23,125,349</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Fringe Benefits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$7,957,078</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Other Operating Expenditures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$7,712,308</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Bibliographic Utilities and Networks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$1,144,311</w:t>
            </w:r>
          </w:p>
        </w:tc>
      </w:tr>
      <w:tr>
        <w:trPr>
          <w:cantSplit/>
        </w:trPr>
        <w:tc>
          <w:tcPr>
            <w:tcW w:type="dxa" w:w="6084"/>
            <w:shd w:fill="F2F2F2" w:color="auto" w:val="clear"/>
          </w:tcPr>
          <w:p>
            <w:pPr>
              <w:keepNext w:val="false"/>
              <w:keepLines/>
              <w:spacing w:after="40" w:before="40"/>
            </w:pPr>
            <w:r>
              <w:rPr>
                <w:rFonts w:ascii="Open Sans" w:cs="Open Sans" w:eastAsia="Open Sans" w:hAnsi="Open Sans"/>
                <w:sz w:val="20"/>
                <w:szCs w:val="20"/>
              </w:rPr>
              <w:t xml:space="preserve">Total Library Expenditures</w:t>
            </w:r>
          </w:p>
        </w:tc>
        <w:tc>
          <w:tcPr>
            <w:tcW w:type="dxa" w:w="3276"/>
            <w:shd w:fill="F2F2F2" w:color="auto" w:val="clear"/>
          </w:tcPr>
          <w:p>
            <w:pPr>
              <w:keepNext w:val="false"/>
              <w:keepLines/>
              <w:spacing w:after="40" w:before="40"/>
              <w:jc w:val="right"/>
            </w:pPr>
            <w:r>
              <w:rPr>
                <w:rFonts w:ascii="Open Sans" w:cs="Open Sans" w:eastAsia="Open Sans" w:hAnsi="Open Sans"/>
                <w:sz w:val="20"/>
                <w:szCs w:val="20"/>
              </w:rPr>
              <w:t xml:space="preserve">$47,985,113</w:t>
            </w:r>
          </w:p>
        </w:tc>
      </w:tr>
    </w:tbl>
    <w:p>
      <w:pPr>
        <w:pStyle w:val="Heading2"/>
        <w:keepNext/>
        <w:spacing w:after="160" w:before="360"/>
      </w:pPr>
      <w:r>
        <w:rPr>
          <w:rFonts w:ascii="Open Sans" w:cs="Open Sans" w:eastAsia="Open Sans" w:hAnsi="Open Sans"/>
          <w:b/>
          <w:bCs/>
          <w:color w:val="232D4B"/>
          <w:sz w:val="26"/>
          <w:szCs w:val="26"/>
        </w:rPr>
        <w:t xml:space="preserve">University Context</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84"/>
        <w:gridCol w:w="3276"/>
      </w:tblGrid>
      <w:tr>
        <w:trPr>
          <w:cantSplit/>
          <w:tblHeader/>
        </w:trPr>
        <w:tc>
          <w:tcPr>
            <w:tcW w:type="dxa" w:w="6084"/>
            <w:shd w:fill="232D4B" w:color="auto" w:val="clear"/>
          </w:tcPr>
          <w:p>
            <w:pPr>
              <w:keepNext/>
              <w:keepLines/>
              <w:spacing w:after="60" w:before="60"/>
            </w:pPr>
            <w:r>
              <w:rPr>
                <w:rFonts w:ascii="Open Sans" w:cs="Open Sans" w:eastAsia="Open Sans" w:hAnsi="Open Sans"/>
                <w:b/>
                <w:bCs/>
                <w:color w:val="FFFFFF"/>
                <w:sz w:val="20"/>
                <w:szCs w:val="20"/>
              </w:rPr>
              <w:t xml:space="preserve">Measure</w:t>
            </w:r>
          </w:p>
        </w:tc>
        <w:tc>
          <w:tcPr>
            <w:tcW w:type="dxa" w:w="3276"/>
            <w:shd w:fill="232D4B" w:color="auto" w:val="clear"/>
          </w:tcPr>
          <w:p>
            <w:pPr>
              <w:keepNext/>
              <w:keepLines/>
              <w:spacing w:after="60" w:before="60"/>
              <w:jc w:val="right"/>
            </w:pPr>
            <w:r>
              <w:rPr>
                <w:rFonts w:ascii="Open Sans" w:cs="Open Sans" w:eastAsia="Open Sans" w:hAnsi="Open Sans"/>
                <w:b/>
                <w:bCs/>
                <w:color w:val="FFFFFF"/>
                <w:sz w:val="20"/>
                <w:szCs w:val="20"/>
              </w:rPr>
              <w:t xml:space="preserve">Value</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Total Full-Time Students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23,520</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Part-Time Students (Undergraduate and Graduate)</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2,919</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Total Full-Time Graduate Students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6,398</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Part-Time Graduate Students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2,163</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Doctoral Degrees Awarded</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866</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Doctoral Degree Fields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55</w:t>
            </w:r>
          </w:p>
        </w:tc>
      </w:tr>
      <w:tr>
        <w:trPr>
          <w:cantSplit/>
        </w:trPr>
        <w:tc>
          <w:tcPr>
            <w:tcW w:type="dxa" w:w="6084"/>
            <w:shd w:fill="FFFFFF" w:color="auto" w:val="clear"/>
          </w:tcPr>
          <w:p>
            <w:pPr>
              <w:keepNext w:val="false"/>
              <w:keepLines/>
              <w:spacing w:after="40" w:before="40"/>
            </w:pPr>
            <w:r>
              <w:rPr>
                <w:rFonts w:ascii="Open Sans" w:cs="Open Sans" w:eastAsia="Open Sans" w:hAnsi="Open Sans"/>
                <w:sz w:val="20"/>
                <w:szCs w:val="20"/>
              </w:rPr>
              <w:t xml:space="preserve">Total Teaching Faculty</w:t>
            </w:r>
          </w:p>
        </w:tc>
        <w:tc>
          <w:tcPr>
            <w:tcW w:type="dxa" w:w="3276"/>
            <w:shd w:fill="FFFFFF" w:color="auto" w:val="clear"/>
          </w:tcPr>
          <w:p>
            <w:pPr>
              <w:keepNext w:val="false"/>
              <w:keepLines/>
              <w:spacing w:after="40" w:before="40"/>
              <w:jc w:val="right"/>
            </w:pPr>
            <w:r>
              <w:rPr>
                <w:rFonts w:ascii="Open Sans" w:cs="Open Sans" w:eastAsia="Open Sans" w:hAnsi="Open Sans"/>
                <w:sz w:val="20"/>
                <w:szCs w:val="20"/>
              </w:rPr>
              <w:t xml:space="preserve">1,437</w:t>
            </w:r>
          </w:p>
        </w:tc>
      </w:tr>
    </w:tbl>
    <w:p>
      <w:pPr>
        <w:keepLines/>
        <w:spacing w:before="240"/>
      </w:pPr>
      <w:r>
        <w:rPr>
          <w:rFonts w:ascii="Open Sans" w:cs="Open Sans" w:eastAsia="Open Sans" w:hAnsi="Open Sans"/>
          <w:b/>
          <w:bCs/>
          <w:color w:val="232D4B"/>
          <w:sz w:val="18"/>
          <w:szCs w:val="18"/>
        </w:rPr>
        <w:t xml:space="preserve">Source: </w:t>
      </w:r>
      <w:r>
        <w:rPr>
          <w:rFonts w:ascii="Open Sans" w:cs="Open Sans" w:eastAsia="Open Sans" w:hAnsi="Open Sans"/>
          <w:color w:val="232D4B"/>
          <w:sz w:val="18"/>
          <w:szCs w:val="18"/>
        </w:rPr>
        <w:t xml:space="preserve">Association of Research Libraries, ARL Statistics. Prepared by the Assessment Department, University of Virginia Library.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Open Sans" w:cs="Open Sans" w:eastAsia="Open Sans" w:hAnsi="Open Sans"/>
        <w:color w:val="999999"/>
        <w:sz w:val="16"/>
        <w:szCs w:val="16"/>
      </w:rPr>
      <w:t xml:space="preserve">Page </w:t>
    </w:r>
    <w:r>
      <w:rPr>
        <w:rFonts w:ascii="Open Sans" w:cs="Open Sans" w:eastAsia="Open Sans" w:hAnsi="Open Sans"/>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pen Sans" w:cs="Open Sans" w:eastAsia="Open Sans" w:hAnsi="Open Sans"/>
        <w:color w:val="232D4B"/>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Open Sans" w:cs="Open Sans" w:eastAsia="Open Sans" w:hAnsi="Open Sans"/>
      <w:b/>
      <w:bCs/>
      <w:color w:val="232D4B"/>
      <w:sz w:val="36"/>
      <w:szCs w:val="36"/>
    </w:rPr>
  </w:style>
  <w:style w:type="paragraph" w:styleId="Heading2">
    <w:name w:val="Heading 2"/>
    <w:basedOn w:val="Normal"/>
    <w:next w:val="Normal"/>
    <w:qFormat/>
    <w:rPr>
      <w:rFonts w:ascii="Open Sans" w:cs="Open Sans" w:eastAsia="Open Sans" w:hAnsi="Open Sans"/>
      <w:b/>
      <w:bCs/>
      <w:color w:val="232D4B"/>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a2494f30c9337b15427eaef244f34a1d6370a30e.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2026-08-17T14:59:14.421Z</dcterms:created>
  <dcterms:modified xsi:type="dcterms:W3CDTF">2026-08-17T14:59:14.421Z</dcterms:modified>
</cp:coreProperties>
</file>

<file path=docProps/custom.xml><?xml version="1.0" encoding="utf-8"?>
<Properties xmlns="http://schemas.openxmlformats.org/officeDocument/2006/custom-properties" xmlns:vt="http://schemas.openxmlformats.org/officeDocument/2006/docPropsVTypes"/>
</file>